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3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четвертый пункта 3 статьи 243 части второй Налогового кодекса Российской Федерации (Собрание законодательства Российской Федерации, 2000, № 32, ст. 3340; 2001, № 1, ст. 18; 2002, № 1, ст. 4) изменение, изложив его в следующей редакции: "В случае, если в отчетном (налоговом) периоде сумма примененного налогового вычета превышает сумму фактически уплаченного страхового взноса за тот же период, такая разница признается занижением суммы налога, подлежащего уплате, с 15-го числа месяца, следующего за месяцем, за который уплачены авансовые платежи по налогу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3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