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10 Федерального закона "Об ограничении курения табака"</w:t>
      </w:r>
    </w:p>
    <w:p>
      <w:r>
        <w:rPr>
          <w:b/>
        </w:rPr>
        <w:t>Статья 1</w:t>
      </w:r>
    </w:p>
    <w:p>
      <w:r>
        <w:t>Часть вторую статьи 10 Федерального закона от 10 июля 2001 года № 87-ФЗ "Об ограничении курения табака" (Собрание законодательства Российской Федерации, 2001, № 29, ст. 2942) после слов "Пункт 3 статьи 3 настоящего Федерального закона вступает в силу с 1 января 2003 года" дополнить словами "в части производства и импорта табачных изделий для потребления на территории Российской Федерации и с 1 июля 2003 года в части оптовой торговли и розничной продажи табачных изделий для потребления на территории Российской Федерации".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