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1. Внести в подпункт "в" пункта 3 статьи 4 Федерального закона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1720) изменение, изложив его в следующей редакции:</w:t>
      </w:r>
    </w:p>
    <w:p>
      <w:r>
        <w:t>"в) транспортных средств Вооруженных Сил Российской Федерации, других войск, воинских формирований и органов, в которых предусмотрена военная служба, за исключением автобусов, легковых автомобилей и прицепов к ним, иных транспортных средств, используемых для обеспечения хозяйственной деятельности Вооруженных Сил Российской Федерации, других войск, воинских формирований и органов;".</w:t>
      </w:r>
    </w:p>
    <w:p>
      <w:r>
        <w:rPr>
          <w:b/>
        </w:rPr>
        <w:t>Статья 2. Настоящий Федеральный закон вступает в силу с 1 июля 2003 года.</w:t>
      </w:r>
    </w:p>
    <w:p>
      <w:r>
        <w:t>Настоящий Федеральный закон вступает в силу с 1 июля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