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утверждении схемы одномандатных избирательных округов для проведения выборов депутатов Государственной Думы Федерального Собрания Российской Федерации четвертого созыва</w:t>
      </w:r>
    </w:p>
    <w:p>
      <w:r>
        <w:rPr>
          <w:b/>
        </w:rPr>
        <w:t>Статья 1</w:t>
      </w:r>
    </w:p>
    <w:p>
      <w:r>
        <w:t>Утвердить схему одномандатных избирательных округов для проведения выборов депутатов Государственной Думы Федерального Собрания Российской Федерации четвертого созыва и графическое изображение этой схемы (приложение)*.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