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таможенном тарифе" и в Федеральный закон "О внесении изменений и дополнений в часть вторую Налогового кодекса Российской Федерации и в отдельные законодательные акты Российской Федерации"</w:t>
      </w:r>
    </w:p>
    <w:p>
      <w:r>
        <w:rPr>
          <w:b/>
        </w:rPr>
        <w:t>Статья 1. Абзац двенадцатый пункта 4 статьи 3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1999, № 7, ст. 879; 2001, № 33, ст. 3429; № 53, ст. 5026; 2002, № 22, ст. 2026) исключить.</w:t>
      </w:r>
    </w:p>
    <w:p>
      <w:r>
        <w:t>Абзац двенадцатый пункта 4 статьи 3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1999, № 7, ст. 879; 2001, № 33, ст. 3429; № 53, ст. 5026; 2002, № 22, ст. 2026) исключить.</w:t>
      </w:r>
    </w:p>
    <w:p>
      <w:r>
        <w:rPr>
          <w:b/>
        </w:rPr>
        <w:t>Статья 2. Признать утратившей силу статью 8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2026).</w:t>
      </w:r>
    </w:p>
    <w:p>
      <w:r>
        <w:t>Признать утратившей силу статью 8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2026).</w:t>
      </w:r>
    </w:p>
    <w:p>
      <w:r>
        <w:rPr>
          <w:b/>
        </w:rPr>
        <w:t>Статья 3. Настоящий Федеральный закон вступает в силу по истечении месяца после дня его официального опубликования.</w:t>
      </w:r>
    </w:p>
    <w:p>
      <w:r>
        <w:t>Настоящий Федеральный закон вступает в силу по истечении месяца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