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26 Федерального закона "О некоммерческих организациях"</w:t>
      </w:r>
    </w:p>
    <w:p>
      <w:r>
        <w:rPr>
          <w:b/>
        </w:rPr>
        <w:t>Статья None. Федеральный закон   от 23.12.2003 № 179-ФЗ</w:t>
      </w:r>
    </w:p>
    <w:p>
      <w:r>
        <w:t>О внесении изменения в статью 26 Федерального закона "О некоммерческих организациях" РОССИЙСКАЯ ФЕДЕРАЦИЯ ФЕДЕРАЛЬНЫЙ ЗАКОН О внесении изменения в статью 26 Федерального закона "О некоммерческих организациях" Принят Государственной Думой 19 ноября 2003 года Одобрен Советом Федерации 10 декабря 2003 года Внести в пункт 1 статьи 26 Федерального закона от 12 января 1996 года № 7-ФЗ "О некоммерческих организациях" (Собрание законодательства Российской Федерации, 1996, № 3, ст. 145) изменение, дополнив его абзацем следующего содержания: "Источниками формирования имущества государственной корпорации могут являться регулярные и (или) единовременные поступления (взносы) от юридических лиц, для которых обязанность осуществлять эти взносы определена федеральным законом.". Президент Российской Федерации В.Путин Москва, Кремль 23 декабря 2003 года № 179-ФЗ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