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дружественных отношениях и сотрудничестве между Российской Федерацией и Румынией</w:t>
      </w:r>
    </w:p>
    <w:p>
      <w:r>
        <w:rPr>
          <w:b/>
        </w:rPr>
        <w:t>Статья None. Федеральный закон   от 19.02.2004 № 2-ФЗ</w:t>
      </w:r>
    </w:p>
    <w:p>
      <w:r>
        <w:t>О ратификации Договора о дружественных отношениях и сотрудничестве между Российской Федерацией и Румынией РОССИЙСКАЯ ФЕДЕРАЦИЯ ФЕДЕРАЛЬНЫЙ ЗАКОН О ратификации Договора о дружественных отношениях и сотрудничестве между Российской Федерацией и Румынией Принят Государственной Думой 23 января 2004 года Одобрен Советом Федерации 11 февраля 2004 года Ратифицировать Договор о дружественных отношениях и сотрудничестве между Российской Федерацией и Румынией, подписанный в городе Москве 4 июля 2003 года. Президент Российской Федерации В.Путин Москва, Кремль 19 февраля 2004 года № 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