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ветеранах"</w:t>
      </w:r>
    </w:p>
    <w:p>
      <w:r>
        <w:rPr>
          <w:b/>
        </w:rPr>
        <w:t>Статья 1</w:t>
      </w:r>
    </w:p>
    <w:p>
      <w:r>
        <w:t>Внести в подпункт "и" подпункта 1 пункта 1 статьи 2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№ 19, ст. 2023) изменение, изложив его в следующей редакции: "и) лица, награжденные медалью "За оборону Ленинграда", инвалиды с детства вследствие ранения, контузии или увечья, связанных с боевыми действиями в период Великой Отечественной войны 1941 - 1945 годов;".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