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2002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2002 год по доходам в сумме 2 204 728 270,2 тыс. рублей и по расходам в сумме 2 054 193 993,0 тыс. рублей с превышением доходов над расходами (профицит федерального бюджета) в сумме 150 534 277,2 тыс. рублей и со следующими показателями: по доходам федерального бюджета за 2002 год согласно приложению 1 к настоящему Федеральному закону; по ведомственной структуре расходов федерального бюджета за 2002 год согласно приложениям 2, 3 (секретно) и 4 (совершенно секретно) к настоящему Федеральному закону; по распределению расходов федерального бюджета за 2002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закону; по распределению расходов федерального бюджета за 2002 год по разделам, подразделам, целевым статьям, видам расходов функциональной классификации расходов бюджетов Российской Федерации согласно приложениям 6 и 7 (совершенно секретно) к настоящему Федеральному закону; по источникам внутреннего финансирования дефицита федерального бюджета на 2002 год согласно приложению 8 к настоящему Федеральному закону; по источникам внешнего финансирования дефицита федерального бюджета на 2002 год согласно приложению 9 к настоящему Федеральному закону.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