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 в области образования</w:t>
      </w:r>
    </w:p>
    <w:p>
      <w:r>
        <w:rPr>
          <w:b/>
        </w:rPr>
        <w:t>Статья 1</w:t>
      </w:r>
    </w:p>
    <w:p>
      <w:r>
        <w:t>Признать утратившими силу</w:t>
      </w:r>
    </w:p>
    <w:p>
      <w:r>
        <w:t>абзац второй пункта 10 статьи 41 Закона Российской Федерации от 10 июля 1992 года № 3266-I "Об образовании" (в редакции Федерального закона от 13 января 1996 года № 12-ФЗ) (Ведомости Съезда народных депутатов Российской Федерации и Верховного Совета Российской Федерации, 1992, № 30, ст. 1797; Собрание законодательства Российской Федерации, 1996, № 3, ст. 150)</w:t>
      </w:r>
    </w:p>
    <w:p>
      <w:r>
        <w:t>абзац второй пункта 13 статьи 1 Федерального закона от 25 июня 2002 года № 71-ФЗ "О внесении изменений и дополнений в Закон Российской Федерации "Об образовании" и Федеральный закон "О высшем и послевузовском профессиональном образовании" (Собрание законодательства Российской Федерации, 2002, № 26, ст. 2517)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