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районного суда города Баксана и Лескенского районного суда Кабардино-Балкарской Республики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 районный суд города Баксана и Лескенский районный суд Кабардино-Балкарской Республики</w:t>
      </w:r>
    </w:p>
    <w:p>
      <w:r>
        <w:t>установить, что юрисдикция районного суда города Баксана и Лескенского районного суда распространяется соответственно на территории города Баксана и Лескенского района Кабардино-Балкарской Республики в границах, существующих на момент вступления в силу настоящего Федерального закона</w:t>
      </w:r>
    </w:p>
    <w:p>
      <w:r>
        <w:t>Судебному департаменту при Верховном Суде Российской Федерации в трехмесячный срок принять меры по организационному обеспечению деятельности вновь созданных районных судов Кабардино-Балкарской Республики</w:t>
      </w:r>
    </w:p>
    <w:p>
      <w:r>
        <w:t>финансирование расходов на содержание вновь созданных районных судов Кабардино-Балкарской Республики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вступает в силу по истечении трех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