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85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часть 1 статьи 85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12) следующие изменения</w:t>
      </w:r>
    </w:p>
    <w:p>
      <w:r>
        <w:t>пункт 2: дополнить новым абзацем четвертым следующего содержания: "до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полномочий, а также статус указанной должности в структуре органов местного самоуправления в случае, если структура органов местного самоуправления не определена на местном референдуме (сходе граждан) в соответствии с частью 5 статьи 34 настоящего Федерального закона."; абзацы четвертый - десятый считать соответственно абзацами пятым - одиннадцатым</w:t>
      </w:r>
    </w:p>
    <w:p>
      <w:r>
        <w:t>дополнить пунктом 7 следующего содержания: "7) вправе при формировании конкурсной комиссии для рассмотрения кандидатур на замещение должности главы местной администрации муниципального района (городского округа) по контракту в порядке, предусмотренном частью 5 статьи 37 настоящего Федерального закона, назначить членов конкурсной комиссии в количестве, равном количеству членов,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созыва, сформированным в порядке, установленном настоящим Федеральным законом."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