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введении в действие Земельного кодекса Российской Федерации" и в статью 3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1</w:t>
      </w:r>
    </w:p>
    <w:p>
      <w:r>
        <w:t>Пункт 2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17) дополнить абзацем следующего содержания: "Земельные участки, которые находятся в государственной или муниципальной собственности и на которых расположены здания, строения и сооружения, находящиеся на день введения в действие Земельного кодекса Российской Федерации в собственности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предоставляются в собственность указанных организаций бесплатно.".</w:t>
      </w:r>
    </w:p>
    <w:p>
      <w:r>
        <w:rPr>
          <w:b/>
        </w:rPr>
        <w:t>Статья 2</w:t>
      </w:r>
    </w:p>
    <w:p>
      <w:r>
        <w:t>Подпункт 7 пункта 2 статьи 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251) дополнить словами ",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государственной или муниципальной собственности и на которых расположены здания, строения и сооружения, находящиеся в собственности указанных организаций".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