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346-29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6 статьи 34629 части второй Налогового кодекса Российской Федерации (Собрание законодательства Российской Федерации, 2000, № 32, ст. 3340; 2002, № 30, ст. 3021; 2003, № 1, ст. 6; 2004, № 30, ст. 3083, 3084; № 31, ст. 3231) изменения, дополнив его абзацами следующего содержания: "Корректирующий коэффициент К2 определяется как произведение установленных нормативными правовыми актами представительных органов муниципальных районов, городских округов, законами городов федерального значения Москвы и Санкт-Петербурга значений, учитывающих влияние на результат предпринимательской деятельности факторов, предусмотренных статьей 34627 настоящего Кодекса. (Абзац утратил силу - Федеральный закон от 22.07.2008 № 155-ФЗ)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2006 года, но не ранее чем по истечении одного месяца со дня его официального опубликования и не ранее 1-го числа очередного налогового периода по единому налогу на вмененный доход для отдельных видов деятельности.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