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181 части первой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181 части первой Гражданского кодекса Российской Федерации (Собрание законодательства Российской Федерации, 1994, № 32, ст. 3301) изменение, изложив ее в следующей редакции: "Статья 181. Сроки исковой давности по недействительным сделкам 1. Срок исковой давности по требованию о применении последствий недействительности ничтожной сделки составляет три года. Течение срока исковой давности по указанному требованию начинается со дня, когда началось исполнение этой сделки.</w:t>
      </w:r>
    </w:p>
    <w:p>
      <w:r>
        <w:rPr>
          <w:b/>
        </w:rPr>
        <w:t xml:space="preserve">2. </w:t>
      </w:r>
      <w:r>
        <w:t>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год. Течение срока исковой давности по указанному требованию начинается со дня прекращения насилия или угрозы, под влиянием которых была совершена сделка (пункт 1 статьи 179), либо со дня, когда истец узнал или должен был узнать об иных обстоятельствах, являющихся основанием для признания сделки недействительной."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Установленный статьей 181 Гражданского кодекса Российской Федерации (в редакции настоящего Федерального закона) срок исковой давности по требованию о применении последствий недействительности ничтожной сделки применяется также к требованиям, ранее установленный Гражданским кодексом Российской Федерации срок предъявления которых не истек до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