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 федеральной службе безопасности" и в статьи 7 и 8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1</w:t>
      </w:r>
    </w:p>
    <w:p>
      <w:r>
        <w:t>В пункте "г" части первой статьи 13 Федерального закона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2700) слова "иметь и использовать в соответствии с законодательством Российской Федерации следственные изоляторы;" исключить.</w:t>
      </w:r>
    </w:p>
    <w:p>
      <w:r>
        <w:rPr>
          <w:b/>
        </w:rPr>
        <w:t>Статья 2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2001, № 11, ст. 1002; 2003, № 27, ст. 2700; № 50, ст. 4847; 2004, № 27, ст. 2711; № 35, ст. 3607; 2005, № 10, ст. 763) следующие изменения: а) абзац третий части первой статьи 7 признать утратившим силу; б) в статье 8: в части первой слова ", а также следственные изоляторы органов федеральной службы безопасности" исключить; часть третью признать утратившей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