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Закона Российской Федерации "О Государственной границе Российской Федерации" и статью 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(Утратила силу - Федеральный закон от 31.12.2014 № 504-ФЗ)</w:t>
      </w:r>
    </w:p>
    <w:p>
      <w:r>
        <w:rPr>
          <w:b/>
        </w:rPr>
        <w:t>Статья 2</w:t>
      </w:r>
    </w:p>
    <w:p>
      <w:r>
        <w:t>Часть пятую статьи 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159) изложить в следующей редакции: "В целях настоящего Федерального закона не рассматривается как выезд из Российской Федерации и как въезд в Российскую Федерацию: пересечение Государственной границы Российской Федерации гражданином Российской Федерации,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при следовании на российских судах через исключительную экономическую зону Российской Федерации или через открытое море без захода в иностранные порты; пересечение Государственной границы Российской Федерации гражданином Российской Федерации, иностранным гражданином или лицом без гражданства, являющимися членами экипажей и включенными в судовую роль судов, на российских рыбопромысловых судах, имеющих выданное в установленном порядке разрешение на неоднократное пересечение Государственной границы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