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и Земельный кодекс Российской Федерации</w:t>
      </w:r>
    </w:p>
    <w:p>
      <w:r>
        <w:rPr>
          <w:b/>
        </w:rPr>
        <w:t>Статья 1</w:t>
      </w:r>
    </w:p>
    <w:p>
      <w:r>
        <w:t>Внести в статью 18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1, ст. 10) следующие изменения</w:t>
      </w:r>
    </w:p>
    <w:p>
      <w:r>
        <w:t>часть 1 после слова "объекта" дополнить словами "рыбохозяйственного значения", слова "и прибрежной полосы суши" исключить</w:t>
      </w:r>
    </w:p>
    <w:p>
      <w:r>
        <w:t>часть 2 дополнить предложением следующего содержания: "Границы рыбопромыслового участка определяются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рыболовства и сохранения водных биоресурсов."</w:t>
      </w:r>
    </w:p>
    <w:p>
      <w:r>
        <w:t>в части 5 слова ", водным и земельным" заменить словами "и водным"</w:t>
      </w:r>
    </w:p>
    <w:p>
      <w:r>
        <w:t>дополнить частью 6 следующего содержания: "6. Использование земельных участков для целей рыболовства осуществляется в соответствии с водным законодательством и земельным законодательством."</w:t>
      </w:r>
    </w:p>
    <w:p>
      <w:r>
        <w:rPr>
          <w:b/>
        </w:rPr>
        <w:t>Статья 2</w:t>
      </w:r>
    </w:p>
    <w:p>
      <w:r>
        <w:t>Подпункт 8 пункта 3 статьи 23 Земельного кодекса Российской Федерации (Собрание законодательства Российской Федерации, 2001, № 44, ст. 4147; 2006, № 23, ст. 2380; Российская газета, 2006, 8 декабря) изложить в следующей редакции: "8) использования земельного участка в целях охоты и рыболовства;".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Договор, на основании которого гражданину или юридическому лицу согласно статье 39 Федерального закона от 20 декабря 2004 года № 166-ФЗ "О рыболовстве и сохранении водных биологических ресурсов" был предоставлен рыбопромысловый участок, подлежит приведению в соответствие с требованиями статьи 18 Федерального закона от 20 декабря 2004 года № 166-ФЗ "О рыболовстве и сохранении водных биологических ресурсов" (в редакции настоящего Федерального закона) до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