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статусе члена Совета Федерации и статусе депутата Государственной Думы Федерального Собрания Российской Федерации" и статью 6 Федерального закона "О парламентском расследовании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Пункт "б" части первой статьи 7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2005, № 30, ст. 3104) дополнить словами "; в работе парламентских комиссий, создаваемых Советом Федерации и Государственной Думой в порядке, установленном Федеральным законом от 27 декабря 2005 года № 196-ФЗ "О парламентском расследовании Федерального Собрания Российской Федерации", а также рабочих групп, создаваемых указанными парламентскими комиссиями".</w:t>
      </w:r>
    </w:p>
    <w:p>
      <w:r>
        <w:rPr>
          <w:b/>
        </w:rPr>
        <w:t>Статья 2</w:t>
      </w:r>
    </w:p>
    <w:p>
      <w:r>
        <w:t>В части 2 статьи 6 Федерального закона от 27 декабря 2005 года № 196-ФЗ "О парламентском расследовании Федерального Собрания Российской Федерации" (Собрание законодательства Российской Федерации, 2006, № 1, ст. 7) слова "нарушения прав и свобод человека и гражданина" заменить словами ", указанных в пункте 1 части 1 статьи 4 настоящего Федерального закона".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