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 силу абзаца шестого пункта 2 части второй статьи 33 Федерального закона "О содержании под стражей подозреваемых и обвиняемых в совершении преступлений"</w:t>
      </w:r>
    </w:p>
    <w:p>
      <w:r>
        <w:rPr>
          <w:b/>
        </w:rPr>
        <w:t>Статья None. Федеральный закон   от 05.02.2007 № 9-ФЗ</w:t>
      </w:r>
    </w:p>
    <w:p>
      <w:r>
        <w:t>О признании утратившим силу абзаца шестого пункта 2 части второй статьи 33 Федерального закона "О содержании под стражей подозреваемых и обвиняемых в совершении преступлений" РОССИЙСКАЯ ФЕДЕРАЦИЯ ФЕДЕРАЛЬНЫЙ ЗАКОН О признании утратившим силу абзаца шестого пункта 2 части второй статьи 33 Федерального закона "О содержании под стражей подозреваемых и обвиняемых в совершении преступлений" Принят Государственной Думой 19 января 2007 года Одобрен Советом Федерации 24 января 2007 года Абзац шестой пункта 2 части второй статьи 33 Федерального закона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2759) признать утратившим силу. Президент Российской Федерации В.Путин Москва, Кремль 5 февраля 2007 года № 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