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Счетной палате Российской Федерации"</w:t>
      </w:r>
    </w:p>
    <w:p>
      <w:r>
        <w:rPr>
          <w:b/>
        </w:rPr>
        <w:t>Статья 1</w:t>
      </w:r>
    </w:p>
    <w:p>
      <w:r>
        <w:t>Внести в статью 6 Федерального закона от 11 января 1995 года законодательства Российской Федерации, 1995, N 3, ст. 167; 2004, N 49, ст. 4844; 2006, N 31, ст. 3427; 2007, N 10, ст. 1151) следующие изменения</w:t>
      </w:r>
    </w:p>
    <w:p>
      <w:r>
        <w:t>часть третью признать утратившей силу</w:t>
      </w:r>
    </w:p>
    <w:p>
      <w:r>
        <w:t>часть четвертую изложить в следующей редакции: "По представлению Президента Российской Федерации Совет Федерации и Государственная Дума назначают по шесть аудиторов Счетной палаты сроком на шесть лет. В случае отклонения предложенной на должность аудитора Счетной палаты кандидатуры Президент Российской Федерации в течение двух недель вносит новую кандидатуру. При этом Президент Российской Федерации вправе вновь представить на рассмотрение Совета Федерации, Государственной Думы ту же кандидатуру либо внести другую кандидатуру. Постановление Совета Федерации о назначении аудиторов Счетной палаты принимается большинством голосов от общего числа членов Совета Федерации. Постановление Государственной Думы о назначении аудиторов Счетной палаты принимается большинством голосов от общего числа депутатов Государственной Думы."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