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требований к указанию стоимостных показателей</w:t>
      </w:r>
    </w:p>
    <w:p>
      <w:r>
        <w:rPr>
          <w:b/>
        </w:rPr>
        <w:t>Статья 1</w:t>
      </w:r>
    </w:p>
    <w:p>
      <w:r>
        <w:t>Статью 17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3466) дополнить частью пятой следующего содержания: "5. Стоимостные показатели указываются членом Совета Федерации, депутатом Государственной Думы в соответствии с требованиями, устанавливаемыми законодательством Российской Федерации, регламентами палат Федерального Собрания Российской Федерации.".</w:t>
      </w:r>
    </w:p>
    <w:p>
      <w:r>
        <w:rPr>
          <w:b/>
        </w:rPr>
        <w:t>Статья 2</w:t>
      </w:r>
    </w:p>
    <w:p>
      <w:r>
        <w:t>Статью 15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дополнить частью 11 следующего содержания: "11. 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Федерации.".</w:t>
      </w:r>
    </w:p>
    <w:p>
      <w:r>
        <w:rPr>
          <w:b/>
        </w:rPr>
        <w:t>Статья 3</w:t>
      </w:r>
    </w:p>
    <w:p>
      <w:r>
        <w:t>Статью 5 Федерального закона от 13 марта 2006 года № 38-ФЗ "О рекламе" (Собрание законодательства Российской Федерации, 2006, № 12, ст. 1232; № 52, ст. 5497) дополнить частью 71 следующего содержания: "71. В рекламе товаров и иных объектов рекламирования стоимостные показатели должны быть указаны в рублях, а в случае необходимости дополнительно могут быть указаны в иностранной валюте.".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июля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