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Магасского районного суда Республики Ингушетия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создать Магасский районный суд Республики Ингушетия</w:t>
      </w:r>
    </w:p>
    <w:p>
      <w:r>
        <w:t>установить, что юрисдикция Магасского районного суда Республики Ингушетия распространяется на территории города Магаса и города Назрани Республики Ингушетия в границах, существующих на день вступления в силу настоящего Федерального закона</w:t>
      </w:r>
    </w:p>
    <w:p>
      <w:r>
        <w:t>установить, что юрисдикция Назрановского районного суда Республики Ингушетия распространяется на территорию Назрановского района Республики Ингушетия в границах, существующих на день вступления в силу настоящего Федерального закона</w:t>
      </w:r>
    </w:p>
    <w:p>
      <w:r>
        <w:t>Судебному департаменту при Верховном Суде Российской Федерации принять меры по организационному обеспечению деятельности Магасского районного суда Республики Ингушетия</w:t>
      </w:r>
    </w:p>
    <w:p>
      <w:r>
        <w:t>финансирование расходов на содержание Магасского районного суда Республики Ингушетия осуществляется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2 и 3 статьи 1 настоящего Федерального закона</w:t>
      </w:r>
    </w:p>
    <w:p>
      <w:r>
        <w:rPr>
          <w:b/>
        </w:rPr>
        <w:t xml:space="preserve">2. </w:t>
      </w:r>
      <w:r>
        <w:t>Пункты 2 и 3 статьи 1 настоящего Федерального закона вступают в силу со дня назначения на должности двух третей от установленной численности судей Магасского районного суда Республики Ингушетия, но не позднее 1 января 2009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