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30 Федерального закона "О Счетной палате Российской Федерации"</w:t>
      </w:r>
    </w:p>
    <w:p>
      <w:r>
        <w:rPr>
          <w:b/>
        </w:rPr>
        <w:t>Статья 1</w:t>
      </w:r>
    </w:p>
    <w:p>
      <w:r>
        <w:t>Внести в статью 30 Федерального закона от 11 января 1995 года законодательства Российской Федерации, 1995, N 3, ст. 167) изменения, дополнив ее частями второй и третьей следующего содержания: "Контроль за использованием Счетной палатой средств федерального бюджета осуществляется на основании решений Президента Российской Федерации, постановлений Совета Федерации и (или) постановлений Государственной Думы Федерального Собрания Российской Федерации. Постановление Совета Федерации и (или) постановление Государственной Думы Федерального Собрания Российской Федерации по вопросу об осуществлении контроля за использованием Счетной палатой средств федерального бюджета, выделенных на ее содержание, принимаются по инициативе не менее одной пятой общего числа членов Совета Федерации и (или) депутатов Государственной Думы.".</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