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217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7 статьи 217 части второй Налогового кодекса Российской Федерации (Собрание законодательства Российской Федерации, 2000, № 32, ст. 3340; 2001, № 1, ст. 18; № 23, ст. 2289; № 33, ст. 3413; 2002, № 30, ст. 3021; 2003, № 21, ст. 1958; 2004, № 27, ст. 2715; № 34, ст. 3518; 2005, № 1, ст. 30, 38; № 27, ст. 2710, 2717; № 30, ст. 3104; 2006, № 31, ст. 3452; № 50, ст. 5279, 5286; 2007, № 1, ст. 20; № 13, ст. 1465; № 31, ст. 4013) изменение, заменив слова "искусства по перечню премий, утверждаемому Правительством Российской Федерации" словами "искусства, средств массовой информации по перечню премий, утверждаемому Правительством Российской Федерации, а также в виде премий, присужденных высшими должностными лицами субъектов Российской Федерации (руководителями высших исполнительных органов государственной власти субъектов Российской Федерации) за выдающиеся достижения в указанных областях, по перечням премий, утверждаемым высшими должностными лицами субъектов Российской Федерации (руководителями высших исполнительных органов государственной власти субъектов Российской Федерации)".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2008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