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внесении изменений в Федеральный закон "Об обязательном страховании гражданской ответственности владельцев транспортных средств" и статью 2 Федерального закона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статью 3 Федерального закона от 1 декабря 2007 года № 306-ФЗ "О внесении изменений в Федеральный закон "Об обязательном страховании гражданской ответственности владельцев транспортных средств" и статью 2 Федерального закона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2007, № 49, ст. 6067) следующие изменения</w:t>
      </w:r>
    </w:p>
    <w:p>
      <w:r>
        <w:t>часть 2 изложить в следующей редакции: "2. Абзацы пятый - тринадцатый пункта 8, пункты 12 и 23 статьи 1 настоящего Федерального закона вступают в силу с 1 марта 2009 года."</w:t>
      </w:r>
    </w:p>
    <w:p>
      <w:r>
        <w:t>часть 3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30 июня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