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 создании Новочеркасского гарнизонного военного суда и упразднении 6-го гарнизонного военного суда"</w:t>
      </w:r>
    </w:p>
    <w:p>
      <w:r>
        <w:rPr>
          <w:b/>
        </w:rPr>
        <w:t>Статья 1</w:t>
      </w:r>
    </w:p>
    <w:p>
      <w:r>
        <w:t>Внести в статью 2 Федерального закона от 12 июня 2008 года № 89-ФЗ "О создании Новочеркасского гарнизонного военного суда и упразднении 6-го гарнизонного военного суда" (Собрание законодательства Российской Федерации, 2008, № 24, ст. 2802) следующие изменения</w:t>
      </w:r>
    </w:p>
    <w:p>
      <w:r>
        <w:t>в части 1 слова "за исключением пункта 2" заменить словами "за исключением пунктов 2 и 3"</w:t>
      </w:r>
    </w:p>
    <w:p>
      <w:r>
        <w:t>в части 2 слова "Пункт 2 статьи 1 настоящего Федерального закона вступает в силу" заменить словами "Пункты 2 и 3 статьи 1 настоящего Федерального закона вступают в силу"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