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рекламе"</w:t>
      </w:r>
    </w:p>
    <w:p>
      <w:r>
        <w:rPr>
          <w:b/>
        </w:rPr>
        <w:t>Статья None. Федеральный закон   от 27.10.2008 № 179-ФЗ</w:t>
      </w:r>
    </w:p>
    <w:p>
      <w:r>
        <w:t>О внесении изменений в статью 18 Федерального закона "О рекламе" РОССИЙСКАЯ ФЕДЕРАЦИЯ ФЕДЕРАЛЬНЫЙ ЗАКОН О внесении изменений в статью 18 Федерального закона "О рекламе" Принят Государственной Думой 3 октября 2008 года Одобрен Советом Федерации 15 октября 2008 года Внести в статью 18 Федерального закона от 13 марта 2006 года № 38-ФЗ "О рекламе" (Собрание законодательства Российской Федерации, 2006, № 12, ст. 1232) следующие изменения</w:t>
      </w:r>
    </w:p>
    <w:p>
      <w:r>
        <w:t>в наименовании слова "и размещаемая на почтовых отправлениях" исключить</w:t>
      </w:r>
    </w:p>
    <w:p>
      <w:r>
        <w:t>часть 5 признать утратившей силу. Президент Российской Федерации Д.Медведев Москва, Кремль 27 октября 2008 года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