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5553, 5556; 2008, № 29, ст. 3418; № 30, ст. 3613, 3616) следующие изменения</w:t>
      </w:r>
    </w:p>
    <w:p>
      <w:r>
        <w:t>пункт 2 статьи 263 дополнить подпунктом 122 следующего содержания: "122) содержания, развития и организации эксплуатации речных портов, на территориях которых расположено имущество, находящееся в собственности субъекта Российской Федерации;"</w:t>
      </w:r>
    </w:p>
    <w:p>
      <w:r>
        <w:t>пункт 2 статьи 2611 дополнить подпунктом "ю1" следующего содержания: "ю1) имущество, расположенное на территориях речных портов, необходимое для их содержания, развития и организации их эксплуатации (за исключением видов имущества, перечень которых утверждается Правительством Российской Федерации);"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