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статьи 19 Федерального закона "О первоочередных мерах в области бюджетной и налоговой политики" и Федерального закона "О внесении изменения в статью 19 Федерального закона "О первоочередных мерах в области бюджетной и налоговой политики"</w:t>
      </w:r>
    </w:p>
    <w:p>
      <w:r>
        <w:rPr>
          <w:b/>
        </w:rPr>
        <w:t>Статья 1</w:t>
      </w:r>
    </w:p>
    <w:p>
      <w:r>
        <w:t>Признать утратившими силу</w:t>
      </w:r>
    </w:p>
    <w:p>
      <w:r>
        <w:t>статью 19 Федерального закона от 29 декабря 1998 года № 192-ФЗ "О первоочередных мерах в области бюджетной и налоговой политики" (Собрание законодательства Российской Федерации, 1999, № 1, ст. 1)</w:t>
      </w:r>
    </w:p>
    <w:p>
      <w:r>
        <w:t>Федеральный закон от 2 января 2000 года № 23-ФЗ "О внесении изменения в статью 19 Федерального закона "О первоочередных мерах в области бюджетной и налоговой политики" (Собрание законодательства Российской Федерации, 2000, № 2, ст. 144)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120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