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25-11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1</w:t>
      </w:r>
    </w:p>
    <w:p>
      <w:r>
        <w:t>Внести в статью 2511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159) изменение, дополнив ее частью второй следующего содержания: "Из общего числа морских и речных портов Российской Федерации, открытых для международного пассажирского сообщения, Правительство Российской Федерации определяет перечень портов, через которые допускается въезд в Российскую Федерацию иностранных граждан, прибывающих в Российскую Федерацию в туристических целях на паромах, имеющих разрешения на пассажирские перевозки. Указанные иностранные граждане могут находиться на территории Российской Федерации в течение 72 часов без виз в порядке, установленном Правительством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