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3616) следующие изменения</w:t>
      </w:r>
    </w:p>
    <w:p>
      <w:r>
        <w:t>часть 7 статьи 3 дополнить словами ", за исключением случая, предусмотренного частью 61 статьи 7 настоящего Федерального закона"</w:t>
      </w:r>
    </w:p>
    <w:p>
      <w:r>
        <w:t>в статье 7: а) часть 1 после слов "последующих детей" дополнить словами ", за исключением случая, предусмотренного частью 61 настоящей статьи,"; б) в части 2 второе предложение дополнить словами ", за исключением случая, предусмотренного частью 61 настоящей статьи", третье предложение дополнить словами ", за исключением случая, предусмотренного частью 61 настоящей статьи"; в) часть 6 дополнить словами ", за исключением случая, предусмотренного частью 61 настоящей статьи"; г) дополнить частью 61 следующего содержания: "61. Заявление о распоряжении может быть подано в любое время со дня рождения (усыновления) второго, третьего ребенка или последующих детей в случае необходимости использования средств (части средств) материнского (семейного) капитала на погашение основного долга и уплаты процентов по кредитам или займам на приобретение (строительство) жилого помещения, включая ипотечные кредиты, предоставленным гражданам по кредитному договору (договору займа), заключенному с организацией, в том числе кредитной организацией, по 31 декабря 2010 года включительно. При этом Пенсионный фонд Российской Федерации осуществляет перевод средств (части средств) материнского (семейного) капитала не позднее чем через два месяца с даты вынесения территориальным органом Пенсионного фонда Российской Федерации решения об удовлетворении заявления о распоряжении."</w:t>
      </w:r>
    </w:p>
    <w:p>
      <w:r>
        <w:t>первое предложение части 1 статьи 9 дополнить словами ", за исключением случая, предусмотренного частью 61 статьи 7 настоящего Федерального закона"</w:t>
      </w:r>
    </w:p>
    <w:p>
      <w:r>
        <w:t>статью 10 дополнить частью 6 следующего содержания: "6. Средства (часть средств) материнского (семейного) капитала могут направляться на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предоставленным гражданам по кредитному договору (договору займа), заключенному с организацией, в том числе кредитной организацией, по 31 декабря 2010 года включительно, независимо от срока, истекшего со дня рождения (усыновления) второго, третьего ребенка или последующих детей."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