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 сотрудничестве в нефтяной сфере</w:t>
      </w:r>
    </w:p>
    <w:p>
      <w:r>
        <w:rPr>
          <w:b/>
        </w:rPr>
        <w:t>Статья None. Федеральный закон   от 18.07.2009 № 183-ФЗ</w:t>
      </w:r>
    </w:p>
    <w:p>
      <w:r>
        <w:t>О ратификации Соглашения между Правительством Российской Федерации и Правительством Китайской Народной Республики о сотрудничестве в нефтяной сфере РОССИЙСКАЯ ФЕДЕРАЦИЯ ФЕДЕРАЛЬНЫЙ ЗАКОН О ратификации Соглашения между Правительством Российской Федерации и Правительством Китайской Народной Республики о сотрудничестве в нефтяной сфере Принят Государственной Думой 3 июля 2009 года Одобрен Советом Федерации 7 июля 2009 года Ратифицировать Соглашение между Правительством Российской Федерации и Правительством Китайской Народной Республики о сотрудничестве в нефтяной сфере, подписанное в городе Пекине 21 апреля 2009 года. Президент Российской Федерации Д.Медведев Москва, Кремль 18 июля 2009 года № 183-ФЗ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