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 ветеранах"</w:t>
      </w:r>
    </w:p>
    <w:p>
      <w:r>
        <w:rPr>
          <w:b/>
        </w:rPr>
        <w:t>Статья 1</w:t>
      </w:r>
    </w:p>
    <w:p>
      <w:r>
        <w:t>Внести в пункт 2 статьи 21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2004, № 25, ст. 2480; № 35, ст. 3607; 2005, № 1, ст. 25) изменение, изложив его в следующей редакции: "2. Независимо от нахождения на иждивении и получения любого вида пенсии или заработка меры социальной поддержки предоставляются</w:t>
      </w:r>
    </w:p>
    <w:p>
      <w:r>
        <w:t>родителям погибшего (умершего) инвалида войны, участника Великой Отечественной войны и ветерана боевых действий</w:t>
      </w:r>
    </w:p>
    <w:p>
      <w:r>
        <w:t>супруге (супругу) погибшего (умершего) инвалида войны, не вступившей (не вступившему) в повторный брак</w:t>
      </w:r>
    </w:p>
    <w:p>
      <w:r>
        <w:t>супруге (супругу) погибшего (умершего) участника Великой Отечественной войны, не вступившей (не вступившему) в повторный брак</w:t>
      </w:r>
    </w:p>
    <w:p>
      <w:r>
        <w:t>супруге (супругу) погибшего (умершего) ветерана боевых действий, не вступившей (не вступившему) в повторный брак и проживающей (проживающему) одиноко, или с несовершеннолетним ребенком (детьми), или с ребенком (детьми) старше возраста 18 лет, ставшим (ставшими) инвалидом (инвалидами) до достижения им (ими) возраста 18 лет, или с ребенком (детьми), не достигшим (не достигшими) возраста 23 лет и обучающимся (обучающимися) в образовательных учреждениях по очной форме обучения."</w:t>
      </w:r>
    </w:p>
    <w:p>
      <w:r>
        <w:rPr>
          <w:b/>
        </w:rPr>
        <w:t>Статья 2</w:t>
      </w:r>
    </w:p>
    <w:p>
      <w:r>
        <w:t>Финансовое обеспечение расходов, предусмотренных пунктом 2 статьи 21 Федерального закона от 12 января 1995 года № 5-ФЗ "О ветеранах" (в редакции настоящего Федерального закона), осуществляется за счет средств федерального бюджета.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2 статьи 21 Федерального закона от 12 января 1995 года № 5-ФЗ "О ветеранах" (в редакции настоящего Федерального закона) распространяются на правоотношения, возникшие с 1 июля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