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статьи 48 Федерального закона "О страховании вкладов физических лиц в банках Российской Федерации"</w:t>
      </w:r>
    </w:p>
    <w:p>
      <w:r>
        <w:rPr>
          <w:b/>
        </w:rPr>
        <w:t>Статья 1</w:t>
      </w:r>
    </w:p>
    <w:p>
      <w:r>
        <w:t>В целях поддержания стабильности банковской системы приостановить до 1 июля 2011 года включительно действие пункта 2 части 3, пунктов 1 и 3 части 31 статьи 48 Федерального закона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5029; 2008, № 52, ст. 6225). (В редакции Федерального закона от 23.12.2010 № 375-ФЗ)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