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334 Таможенного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334 Таможенного кодекса Российской Федерации (Собрание законодательства Российской Федерации, 2003, N 22, ст. 2066) изменение, дополнив ее подпунктом 5 следующего содержания: "5) товары, ввозимые на таможенную территорию Российской Федерации, являются товарами, включенными в утвержденный Правительством Российской Федерации перечень отдельных типов ввозимых иностранных воздушных судов и комплектующих к ним, в отношении которых может быть предоставлена отсрочка или рассрочка уплаты таможенных пошлин, налогов.".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