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социальных гарантиях гражданам, подвергшимся радиационному воздействию вследствие ядерных испытаний на Семипалатинском полигоне"</w:t>
      </w:r>
    </w:p>
    <w:p>
      <w:r>
        <w:rPr>
          <w:b/>
        </w:rPr>
        <w:t>Статья 1</w:t>
      </w:r>
    </w:p>
    <w:p>
      <w:r>
        <w:t>Внести в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12, ст. 1035; № 35, ст. 3607; 2005, № 1, ст. 25; 2008, № 52, ст. 6236; 2009, № 30, ст. 3739) следующие изменения</w:t>
      </w:r>
    </w:p>
    <w:p>
      <w:r>
        <w:t>в пункте 6 части первой статьи 2 слова "200 рублей" заменить словами "394 рублей 83 копеек"</w:t>
      </w:r>
    </w:p>
    <w:p>
      <w:r>
        <w:t>в пункте 3 части второй статьи 4 слова "35 рублей" заменить словами "56 рублей 60 копеек", слова "180 рублей" заменить словами "291 рубля 5 копеек"</w:t>
      </w:r>
    </w:p>
    <w:p>
      <w:r>
        <w:t>статью 7 изложить в следующей редакции: "Статья 7. Предусмотренные настоящим Федеральным законом меры социальной поддержки граждан, подвергшихся радиационному воздействию вследствие ядерных испытаний на Семипалатинском полигоне, являются расходными обязательствами Российской Федерации. Порядок финансового обеспечения расходных обязательств Российской Федерации устанавливается Правительством Российской Федерации. Финансовое обеспечение расходов на оплату услуг по доставке компенсаций и других выплат, предусмотренных настоящим Федеральным законом, осуществляется за счет средств федерального бюджета в пределах 1,5 процента выплаченных сумм компенсаций и других выплат без учета налога на добавленную стоимость. Размеры выплат гражданам, установленные настоящим Федеральным законом, за исключением выплат, индексация которых устанавливается в соответствии с другими федеральными законами, ежегодно индексируются исходя из уровня инфляции, устанавливаемого федеральным законом о федеральном бюджете на очередной финансовый год и на плановый период, в порядке, определяемом Правительством Российской Федерации."</w:t>
      </w:r>
    </w:p>
    <w:p>
      <w:r>
        <w:rPr>
          <w:b/>
        </w:rPr>
        <w:t>Статья 2</w:t>
      </w:r>
    </w:p>
    <w:p>
      <w:r>
        <w:t>Настоящий Федеральный закон вступает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