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6 Федерального закона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w:t>
      </w:r>
    </w:p>
    <w:p>
      <w:r>
        <w:rPr>
          <w:b/>
        </w:rPr>
        <w:t>Статья 1</w:t>
      </w:r>
    </w:p>
    <w:p>
      <w:r>
        <w:t>Внести в статью 6 Федерального закона от 29 декабря 2006 года №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(Собрание законодательства Российской Федерации, 2007, № 1, ст. 7) следующие изменения: 1) часть 2 дополнить словами ", а также лица, имеющие неснятую или непогашенную судимость за преступления в сфере экономики либо за умышленные преступления средней тяжести, тяжкие преступления, особо тяжкие преступления"; 2) в пункте 2 части 6 слова "100 миллионов рублей" заменить словами "1 миллиард рублей"; 3) часть 8 признать утратившей силу; 4) дополнить частями 9 - 15 следующего содержания: "9. Минимальный размер уставного капитала организатора азартных игр в букмекерской конторе или тотализаторе устанавливается в сумме 100 миллионов рублей. В оплату такого уставного капитала могут быть внесены только денежные средства. Для формирования такого уставного капитала не могут быть использованы заемные денежные средства. Порядок подтверждения источников происхождения денежных средств, вносимых в оплату такого уставного капитала, устанавливается Правительством Российской Федерации.</w:t>
      </w:r>
    </w:p>
    <w:p>
      <w:r>
        <w:rPr>
          <w:b/>
        </w:rPr>
        <w:t xml:space="preserve">10. </w:t>
      </w:r>
      <w:r>
        <w:t>В целях защиты прав и законных интересов участников азартных игр осуществление деятельности по организации и проведению азартных игр в букмекерской конторе или тотализаторе допускается только при наличии у организатора азартных игр в букмекерской конторе или тотализаторе банковской гарантии исполнения обязательств перед участниками азартных игр, срок действия которой равен сроку действия имеющейся у организатора азартных игр в букмекерской конторе или тотализаторе лицензии на осуществление указанной деятельности. Гарантом, предоставившим банковскую гарантию, может быть только банк, имеющий лицензию Центрального банка Российской Федерации на осуществление банковских операций. Данная банковская гарантия не может быть отозвана. Размер данной банковской гарантии определяется в соответствующем договоре и не может быть менее 500 миллионов рублей</w:t>
      </w:r>
    </w:p>
    <w:p>
      <w:r>
        <w:rPr>
          <w:b/>
        </w:rPr>
        <w:t xml:space="preserve">11. </w:t>
      </w:r>
      <w:r>
        <w:t>Организатор азартных игр обязан предоставлять ежегодно уполномоченному Правительством Российской Федерации федеральному органу исполнительной власти сведения о лицах, которые имеют голосующие акции или долю в уставном капитале этого организатора азартных игр в размере не менее 10 процентов и соответственно прямо и (или) косвенно могут оказывать существенное влияние на решение вопросов, отнесенных к компетенции общего собрания учредителей (участников) этого организатора азартных игр, а также документы, подтверждающие указанные сведения. Состав и порядок предоставления указанных сведений и документов устанавливаются Правительством Российской Федерации</w:t>
      </w:r>
    </w:p>
    <w:p>
      <w:r>
        <w:rPr>
          <w:b/>
        </w:rPr>
        <w:t xml:space="preserve">12. </w:t>
      </w:r>
      <w:r>
        <w:t>Бухгалтерская (финансовая) отчетность организатора азартных игр подлежит обязательной ежегодной аудиторской проверке</w:t>
      </w:r>
    </w:p>
    <w:p>
      <w:r>
        <w:rPr>
          <w:b/>
        </w:rPr>
        <w:t xml:space="preserve">13. </w:t>
      </w:r>
      <w:r>
        <w:t>Сведения и документы, указанные в части 11 настоящей статьи, заключение аудитора по результатам ежегодной аудиторской проверки являются обязательными приложениями к бухгалтерской (финансовой) отчетности организатора азартных игр</w:t>
      </w:r>
    </w:p>
    <w:p>
      <w:r>
        <w:rPr>
          <w:b/>
        </w:rPr>
        <w:t xml:space="preserve">14. </w:t>
      </w:r>
      <w:r>
        <w:t>Проверку достоверности сведений, предоставление которых предусмотрено частями 3, 9 и 11 настоящей статьи, проводит уполномоченный Правительством Российской Федерации федеральный орган исполнительной власти. Организатор азартных игр несет ответственность за полноту и достоверность указанных сведений в соответствии с законодательством Российской Федерации</w:t>
      </w:r>
    </w:p>
    <w:p>
      <w:r>
        <w:rPr>
          <w:b/>
        </w:rPr>
        <w:t xml:space="preserve">15. </w:t>
      </w:r>
      <w:r>
        <w:t>Правительством Российской Федерации могут быть установлены дополнительные требования к организаторам азартных игр, а также к отчетности организаторов азартных игр, ее составу и порядку представления."</w:t>
      </w:r>
    </w:p>
    <w:p>
      <w:r>
        <w:rPr>
          <w:b/>
        </w:rPr>
        <w:t>Статья 2</w:t>
      </w:r>
    </w:p>
    <w:p>
      <w:r>
        <w:rPr>
          <w:b/>
        </w:rPr>
        <w:t xml:space="preserve">1. </w:t>
      </w:r>
      <w:r>
        <w:t>Настоящий Федеральный закон вступает в силу со дня его официального опубликования</w:t>
      </w:r>
    </w:p>
    <w:p>
      <w:r>
        <w:rPr>
          <w:b/>
        </w:rPr>
        <w:t xml:space="preserve">2. </w:t>
      </w:r>
      <w:r>
        <w:t>(Часть утратила силу - Федеральный закон от 31.07.2020 № 270-ФЗ)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