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защите прав представителей работников на предприятии и предоставляемых им возможностях (Конвенции № 135)</w:t>
      </w:r>
    </w:p>
    <w:p>
      <w:r>
        <w:rPr>
          <w:b/>
        </w:rPr>
        <w:t>Статья None. Федеральный закон   от 01.07.2010 № 137-ФЗ</w:t>
      </w:r>
    </w:p>
    <w:p>
      <w:r>
        <w:t>О ратификации Конвенции о защите прав представителей работников на предприятии и предоставляемых им возможностях (Конвенции № 135) РОССИЙСКАЯ ФЕДЕРАЦИЯ ФЕДЕРАЛЬНЫЙ ЗАКОН О ратификации Конвенции о защите прав представителей работников на предприятии и предоставляемых им возможностях (Конвенции № 135) Принят Государственной Думой 18 июня 2010 года Одобрен Советом Федерации 23 июня 2010 года Ратифицировать Конвенцию о защите прав представителей работников на предприятии и предоставляемых им возможностях (Конвенцию № 135), принятую на 56-й сессии Генеральной конференции Международной организации труда в городе Женеве 23 июня 1971 года. Президент Российской Федерации Д.Медведев Москва, Кремль 1 июля 2010 года № 137-ФЗ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