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15.25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6 статьи 15.25 Кодекса Российской Федерации об административных правонарушениях (Собрание законодательства Российской Федерации, 2002, № 1, ст. 1; 2004, № 34, ст. 3533; 2007, № 26, ст. 3089) изменение, изложив его в следующей редакции: "6. Несоблюдение установленных порядка и (или) сроков представления форм учета и отчетности по валютным операциям, отчетов о движении средств по счетам (вкладам) в банках за пределами территории Российской Федерации с подтверждающими банковскими документами,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 -".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90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