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реорганизации Российской корпорации нанотехнологий</w:t>
      </w:r>
    </w:p>
    <w:p>
      <w:r>
        <w:rPr>
          <w:b/>
        </w:rPr>
        <w:t>Статья 1. Сфера действия настоящего Федерального закона</w:t>
      </w:r>
    </w:p>
    <w:p>
      <w:r>
        <w:t>Настоящий Федеральный закон в соответствии со статьей 23 Федерального закона от 19 июля 2007 года № 139-ФЗ "О Российской корпорации нанотехнологий" устанавливает порядок реорганизации Российской корпорации нанотехнологий (далее - Корпорация).</w:t>
      </w:r>
    </w:p>
    <w:p>
      <w:r>
        <w:rPr>
          <w:b/>
        </w:rPr>
        <w:t>Статья 2. Форма реорганизации Корпорации</w:t>
      </w:r>
    </w:p>
    <w:p>
      <w:r>
        <w:rPr>
          <w:b/>
        </w:rPr>
        <w:t xml:space="preserve">1. </w:t>
      </w:r>
      <w:r>
        <w:t>Реорганизация Корпорации осуществляется в соответствии с законодательством Российской Федерации с учетом особенностей, установленных настоящим Федеральным законом</w:t>
      </w:r>
    </w:p>
    <w:p>
      <w:r>
        <w:rPr>
          <w:b/>
        </w:rPr>
        <w:t xml:space="preserve">2. </w:t>
      </w:r>
      <w:r>
        <w:t>Реорганизация Корпорации осуществляется в форме преобразования в открытое акционерное общество (далее - открытое акционерное общество)</w:t>
      </w:r>
    </w:p>
    <w:p>
      <w:r>
        <w:rPr>
          <w:b/>
        </w:rPr>
        <w:t>Статья 3. Порядок принятия решения о реорганизации Корпорации</w:t>
      </w:r>
    </w:p>
    <w:p>
      <w:r>
        <w:rPr>
          <w:b/>
        </w:rPr>
        <w:t xml:space="preserve">1. </w:t>
      </w:r>
      <w:r>
        <w:t>В течение шести месяцев со дня вступления в силу настоящего Федерального закона наблюдательный совет Корпорации представляет в Правительство Российской Федерации предложения о реорганизации Корпорации, содержащие</w:t>
      </w:r>
    </w:p>
    <w:p>
      <w:r>
        <w:rPr>
          <w:b/>
        </w:rPr>
        <w:t xml:space="preserve">2. </w:t>
      </w:r>
      <w:r>
        <w:t>В течение одного месяца с даты представления наблюдательным советом Корпорации указанных в части 1 настоящей статьи предложений о реорганизации Корпорации Правительство Российской Федерации принимает решение о реорганизации Корпорации в форме преобразования в открытое акционерное общество, которое должно содержать сведения о принятии решений по указанным в части 1 настоящей статьи предложениям</w:t>
      </w:r>
    </w:p>
    <w:p>
      <w:r>
        <w:rPr>
          <w:b/>
        </w:rPr>
        <w:t xml:space="preserve">1. </w:t>
      </w:r>
      <w:r>
        <w:t>наименование открытого акционерного общества, сведения о месте его нахождения</w:t>
      </w:r>
    </w:p>
    <w:p>
      <w:r>
        <w:rPr>
          <w:b/>
        </w:rPr>
        <w:t xml:space="preserve">1. </w:t>
      </w:r>
      <w:r>
        <w:t>размер уставного капитала открытого акционерного общества, условия и порядок его формирования, порядок размещения акций открытого акционерного общества, а также условия и порядок формирования его фондов</w:t>
      </w:r>
    </w:p>
    <w:p>
      <w:r>
        <w:rPr>
          <w:b/>
        </w:rPr>
        <w:t xml:space="preserve">1. </w:t>
      </w:r>
      <w:r>
        <w:t>кандидатуры членов совета директоров, ревизионной комиссии открытого акционерного общества и на должность лица, осуществляющего функции единоличного исполнительного органа открытого акционерного общества</w:t>
      </w:r>
    </w:p>
    <w:p>
      <w:r>
        <w:rPr>
          <w:b/>
        </w:rPr>
        <w:t xml:space="preserve">1. </w:t>
      </w:r>
      <w:r>
        <w:t>наименование аудиторской организации открытого акционерного общества, сведения о месте ее нахождения</w:t>
      </w:r>
    </w:p>
    <w:p>
      <w:r>
        <w:rPr>
          <w:b/>
        </w:rPr>
        <w:t xml:space="preserve">1. </w:t>
      </w:r>
      <w:r>
        <w:t>проект передаточного акта</w:t>
      </w:r>
    </w:p>
    <w:p>
      <w:r>
        <w:rPr>
          <w:b/>
        </w:rPr>
        <w:t xml:space="preserve">1. </w:t>
      </w:r>
      <w:r>
        <w:t>проект устава открытого акционерного общества, проекты внутренних документов, регулирующих деятельность органов управления и органов контроля открытого акционерного общества</w:t>
      </w:r>
    </w:p>
    <w:p>
      <w:r>
        <w:rPr>
          <w:b/>
        </w:rPr>
        <w:t xml:space="preserve">1. </w:t>
      </w:r>
      <w:r>
        <w:t>иные вопросы, связанные с реорганизацией Корпорации</w:t>
      </w:r>
    </w:p>
    <w:p>
      <w:r>
        <w:rPr>
          <w:b/>
        </w:rPr>
        <w:t>Статья 4. Порядок перехода прав и обязанностей Корпорации к открытому акционерному обществу и формирования уставного капитала</w:t>
      </w:r>
    </w:p>
    <w:p>
      <w:r>
        <w:rPr>
          <w:b/>
        </w:rPr>
        <w:t xml:space="preserve">1. </w:t>
      </w:r>
      <w:r>
        <w:t>При реорганизации Корпорации к открытому акционерному обществу в соответствии с передаточным актом переходят все права и обязанности Корпорации</w:t>
      </w:r>
    </w:p>
    <w:p>
      <w:r>
        <w:rPr>
          <w:b/>
        </w:rPr>
        <w:t xml:space="preserve">2. </w:t>
      </w:r>
      <w:r>
        <w:t>Формирование уставного капитала открытого акционерного общества осуществляется за счет имущества Корпорации</w:t>
      </w:r>
    </w:p>
    <w:p>
      <w:r>
        <w:rPr>
          <w:b/>
        </w:rPr>
        <w:t>Статья 5. Права кредиторов при реорганизации Корпорации</w:t>
      </w:r>
    </w:p>
    <w:p>
      <w:r>
        <w:rPr>
          <w:b/>
        </w:rPr>
        <w:t xml:space="preserve">1. </w:t>
      </w:r>
      <w:r>
        <w:t>Требования кредиторов Корпорации подлежат удовлетворению в соответствии с условиями и содержанием обязательств, на которых они основаны, при этом положения пункта 2 статьи 60 Гражданского кодекса Российской Федерации не применяются</w:t>
      </w:r>
    </w:p>
    <w:p>
      <w:r>
        <w:rPr>
          <w:b/>
        </w:rPr>
        <w:t xml:space="preserve">2. </w:t>
      </w:r>
      <w:r>
        <w:t>Владельцы облигаций Корпорации не вправе требовать их досрочного погашения в связи с реорганизацией Корпорации, в том числе в случае исключения указанных облигаций из списка ценных бумаг, допущенных к организованным торгам, в связи с такой реорганизацией. (В редакции Федерального закона от 21.11.2011 № 327-ФЗ)</w:t>
      </w:r>
    </w:p>
    <w:p>
      <w:r>
        <w:rPr>
          <w:b/>
        </w:rPr>
        <w:t>Статья 6. Мониторинг и контроль реализации проектов</w:t>
      </w:r>
    </w:p>
    <w:p>
      <w:r>
        <w:rPr>
          <w:b/>
        </w:rPr>
        <w:t xml:space="preserve">1. </w:t>
      </w:r>
      <w:r>
        <w:t>До завершения реорганизации Корпорации мониторинг и контроль реализации проектов, финансируемых за счет средств Корпорации, и принятие решений о приостановлении или прекращении предоставления финансовой поддержки за счет средств Корпорации осуществляются Корпорацией в порядке, установленном статьями 21 и 22 Федерального закона от 19 июля 2007 года № 139-ФЗ "О Российской корпорации нанотехнологий" и внутренними документами Корпорации</w:t>
      </w:r>
    </w:p>
    <w:p>
      <w:r>
        <w:rPr>
          <w:b/>
        </w:rPr>
        <w:t xml:space="preserve">2. </w:t>
      </w:r>
      <w:r>
        <w:t>С даты государственной регистрации открытого акционерного общества юридические лица, получившие финансовую поддержку за счет средств Корпорации до завершения ее реорганизации, или управляющие компании соответствующих паевых инвестиционных фондов обязаны представлять отчеты о ходе реализации финансируемых проектов в сфере нанотехнологий, отчеты о поступлении и об использовании полученных средств на реализацию проектов в сфере нанотехнологий в порядке и в сроки, которые установлены внутренними документами открытого акционерного общества, но не реже чем один раз в год</w:t>
      </w:r>
    </w:p>
    <w:p>
      <w:r>
        <w:rPr>
          <w:b/>
        </w:rPr>
        <w:t xml:space="preserve">3. </w:t>
      </w:r>
      <w:r>
        <w:t>Решения о приостановлении или прекращении предоставления финансовой поддержки юридическому лицу или управляющей компании соответствующего паевого инвестиционного фонда принимаются открытым акционерным обществом в соответствии с уставом открытого акционерного общества, внутренними документами открытого акционерного общества</w:t>
      </w:r>
    </w:p>
    <w:p>
      <w:r>
        <w:rPr>
          <w:b/>
        </w:rPr>
        <w:t xml:space="preserve">4. </w:t>
      </w:r>
      <w:r>
        <w:t>Ответственность за достоверность и полноту представляемой отчетности о ходе реализации проектов в сфере нанотехнологий возлагается на руководителей юридических лиц и управляющих компаний соответствующих паевых инвестиционных фондов</w:t>
      </w:r>
    </w:p>
    <w:p>
      <w:r>
        <w:rPr>
          <w:b/>
        </w:rPr>
        <w:t>Статья 7. Создание некоммерческой организации в форме фонда</w:t>
      </w:r>
    </w:p>
    <w:p>
      <w:r>
        <w:rPr>
          <w:b/>
        </w:rPr>
        <w:t xml:space="preserve">1. </w:t>
      </w:r>
      <w:r>
        <w:t>До даты государственной регистрации открытого акционерного общества Корпорация по решению ее наблюдательного совета в целях развития инновационной инфраструктуры в сфере нанотехнологий создает некоммерческую организацию в форме фонда, реализующего инфраструктурные программы и образовательные программы. Состав и размер имущества Корпорации, передаваемого ею в создаваемый фонд, утверждаются Правительством Российской Федерации</w:t>
      </w:r>
    </w:p>
    <w:p>
      <w:r>
        <w:rPr>
          <w:b/>
        </w:rPr>
        <w:t xml:space="preserve">2. </w:t>
      </w:r>
      <w:r>
        <w:t>С даты государственной регистрации открытого акционерного общества все права и обязанности по отношению к указанной в части 1 настоящей статьи некоммерческой организации осуществляет открытое акционерное общество</w:t>
      </w:r>
    </w:p>
    <w:p>
      <w:r>
        <w:rPr>
          <w:b/>
        </w:rPr>
        <w:t>Статья 8. Порядок государственной регистрации открытого акционерного общества</w:t>
      </w:r>
    </w:p>
    <w:p>
      <w:r>
        <w:rPr>
          <w:b/>
        </w:rPr>
        <w:t xml:space="preserve">1. </w:t>
      </w:r>
      <w:r>
        <w:t>В течение трех рабочих дней после даты принятия Правительством Российской Федерации решения о реорганизации Корпорации она обязана сообщить в письменной форме в регистрирующий орган о начале процедуры реорганизации с указанием формы реорганизации</w:t>
      </w:r>
    </w:p>
    <w:p>
      <w:r>
        <w:rPr>
          <w:b/>
        </w:rPr>
        <w:t xml:space="preserve">2. </w:t>
      </w:r>
      <w:r>
        <w:t>Заявление о государственной регистрации открытого акционерного общества и предусмотренные законодательством Российской Федерации документы представляются в регистрирующий орган в срок не позднее чем два месяца с даты принятия Правительством Российской Федерации решения о реорганизации Корпорации</w:t>
      </w:r>
    </w:p>
    <w:p>
      <w:r>
        <w:rPr>
          <w:b/>
        </w:rPr>
        <w:t xml:space="preserve">3. </w:t>
      </w:r>
      <w:r>
        <w:t>Государственная регистрация открытого акционерного общества осуществляется в порядке и в сроки, которые установлены законодательством Российской Федерации</w:t>
      </w:r>
    </w:p>
    <w:p>
      <w:r>
        <w:rPr>
          <w:b/>
        </w:rPr>
        <w:t xml:space="preserve">4. </w:t>
      </w:r>
      <w:r>
        <w:t>Реорганизация Корпорации считается завершенной, а Корпорация - прекратившей свою деятельность с момента государственной регистрации открытого акционерного общества</w:t>
      </w:r>
    </w:p>
    <w:p>
      <w:r>
        <w:rPr>
          <w:b/>
        </w:rPr>
        <w:t xml:space="preserve">5. </w:t>
      </w:r>
      <w:r>
        <w:t>Сообщение о государственной регистрации открытого акционерного общества размещается в сети "Интернет" на сайте такого открытого акционерного общества не позднее чем в течение пяти рабочих дней с даты получения открытым акционерным обществом документа, подтверждающего факт внесения в единый государственный реестр юридических лиц соответствующей записи</w:t>
      </w:r>
    </w:p>
    <w:p>
      <w:r>
        <w:rPr>
          <w:b/>
        </w:rPr>
        <w:t>Статья 9. Поступление акций открытого акционерного общества в собственность Российской Федерации</w:t>
      </w:r>
    </w:p>
    <w:p>
      <w:r>
        <w:t>Сто процентов акций открытого акционерного общества поступает в собственность Российской Федерации. Последующее распоряжение Российской Федерацией акциями открытого акционерного общества осуществляется в соответствии с законодательством Российской Федерации.</w:t>
      </w:r>
    </w:p>
    <w:p>
      <w:r>
        <w:rPr>
          <w:b/>
        </w:rPr>
        <w:t>Статья 10. Вступление в силу настоящего Федерального закона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