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основаниях, условиях и порядке изменения сроков уплаты таможенных пошлин</w:t>
      </w:r>
    </w:p>
    <w:p>
      <w:r>
        <w:rPr>
          <w:b/>
        </w:rPr>
        <w:t>Статья None. Федеральный закон   от 04.10.2010 № 268-ФЗ</w:t>
      </w:r>
    </w:p>
    <w:p>
      <w:r>
        <w:t>О ратификации Соглашения об основаниях, условиях и порядке изменения сроков уплаты таможенных пошлин РОССИЙСКАЯ ФЕДЕРАЦИЯ ФЕДЕРАЛЬНЫЙ ЗАКОН О ратификации Соглашения об основаниях, условиях и порядке изменения сроков уплаты таможенных пошлин Принят Государственной Думой 24 сентября 2010 года Одобрен Советом Федерации 29 сентября 2010 года Ратифицировать Соглашение об основаниях, условиях и порядке изменения сроков уплаты таможенных пошлин, подписанное в городе Санкт-Петербурге 21 мая 2010 года. Президент Российской Федерации Д.Медведев Москва, Кремль 4 октября 2010 года № 268-ФЗ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