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165 части второй Налогового кодекса Российской Федерации и статью 45 Федерального закона "Об основах государственного регулирования внешнеторговой деятельности"</w:t>
      </w:r>
    </w:p>
    <w:p>
      <w:r>
        <w:rPr>
          <w:b/>
        </w:rPr>
        <w:t>Статья 1</w:t>
      </w:r>
    </w:p>
    <w:p>
      <w:r>
        <w:t>(Утратила силу - Федеральный закон от 19.07.2011 № 245-ФЗ)</w:t>
      </w:r>
    </w:p>
    <w:p>
      <w:r>
        <w:rPr>
          <w:b/>
        </w:rPr>
        <w:t>Статья 2</w:t>
      </w:r>
    </w:p>
    <w:p>
      <w:r>
        <w:t>Внести в статью 45 Федерального закона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следующие изменения</w:t>
      </w:r>
    </w:p>
    <w:p>
      <w:r>
        <w:t>часть 2 изложить в следующей редакции: "2. Российские лица, которые заключили внешнеторговые бартерные сделки или от имени которых заключены такие сделки, в сроки, установленные условиями таких сделок, обязаны обеспечить предусмотренные такими сделками ввоз на таможенную территорию Российской Федерации равноценных по стоимости товаров, оказание иностранными лицами равноценных услуг, выполнение равноценных работ, передачу равноценных исключительных прав на объекты интеллектуальной собственности или предоставление права на использование объектов интеллектуальной собственности с подтверждением факта ввоза товаров, оказания услуг, выполнения работ, передачи исключительных прав на объекты интеллектуальной собственности или предоставления права на использование объектов интеллектуальной собственности соответствующими документами, а также получение платежных средств и зачисление на счета указанных российских лиц в уполномоченных банках соответствующих денежных средств, если внешнеторговые бартерные сделки предусматривают частичное использование денежных и (или) иных платежных средств. Если по условиям внешнеторговой бартерной сделки выполнение иностранным лицом его обязательств должно осуществляться способом, не предусматривающим ввоза на таможенную территорию Российской Федерации товаров, передаваемых российскому лицу, заключившему такую внешнеторговую бартерную сделку, эти товары после их получения российским лицом за пределами таможенной территории Российской Федерации должны быть реализованы в соответствии с требованиями, установленными частью 5 настоящей статьи."</w:t>
      </w:r>
    </w:p>
    <w:p>
      <w:r>
        <w:t>часть 3 признать утратившей силу</w:t>
      </w:r>
    </w:p>
    <w:p>
      <w:r>
        <w:t>часть 5 изложить в следующей редакции: "5. При осуществлении внешнеторговых бартерных сделок товары, получаемые российскими лицами по таким сделкам за пределами территории Российской Федерации, могут быть реализованы российскими лицами без ввоза этих товаров на территорию Российской Федерации при условии, что:</w:t>
      </w:r>
    </w:p>
    <w:p>
      <w:r>
        <w:t>фактическое получение товаров, указанных в абзаце первом настоящей части, должно быть подтверждено документами, предусмотренными условиями внешнеторговой бартерной сделки</w:t>
      </w:r>
    </w:p>
    <w:p>
      <w:r>
        <w:t>российские лица не позднее чем в течение одного года со дня фактического получения товаров, указанных в абзаце первом настоящей части, обязаны обеспечить их реализацию и в срок, предусмотренный условиями сделки по реализации этих товаров, обеспечить зачисление на свои счета в уполномоченных банках всех денежных средств, полученных от их реализации, или получение платежных средств."</w:t>
      </w:r>
    </w:p>
    <w:p>
      <w:r>
        <w:rPr>
          <w:b/>
        </w:rPr>
        <w:t>Статья 3</w:t>
      </w:r>
    </w:p>
    <w:p>
      <w:r>
        <w:rPr>
          <w:b/>
        </w:rPr>
        <w:t xml:space="preserve">1. </w:t>
      </w:r>
      <w:r>
        <w:t>Настоящий Федеральный закон вступает в силу по истечении 10 дней после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