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требованиях к обмену информацией между таможенными органами и иными государственными органами государств - членов таможенного союза</w:t>
      </w:r>
    </w:p>
    <w:p>
      <w:r>
        <w:rPr>
          <w:b/>
        </w:rPr>
        <w:t>Статья None. Федеральный закон   от 15.11.2010 № 302-ФЗ</w:t>
      </w:r>
    </w:p>
    <w:p>
      <w:r>
        <w:t>О ратификации Соглашения о требованиях к обмену информацией между таможенными органами и иными государственными органами государств - членов таможенного союза РОССИЙСКАЯ ФЕДЕРАЦИЯ ФЕДЕРАЛЬНЫЙ ЗАКОН О ратификации Соглашения о требованиях к обмену информацией между таможенными органами и иными государственными органами государств - членов таможенного союза Принят Государственной Думой 1 ноября 2010 года Одобрен Советом Федерации 10 ноября 2010 года Ратифицировать Соглашение о требованиях к обмену информацией между таможенными органами и иными государственными органами государств - членов таможенного союза, подписанное в городе Санкт-Петербурге 21 мая 2010 года. Президент Российской Федерации Д.Медведев Москва, Кремль 15 ноября 2010 года № 302-ФЗ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