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10 и 20 Федерального закона "О драгоценных металлах и драгоценных камнях" и статьи 6 и 13 Федерального закона "Об основах государственного регулирования внешнеторговой деятельности"</w:t>
      </w:r>
    </w:p>
    <w:p>
      <w:r>
        <w:rPr>
          <w:b/>
        </w:rPr>
        <w:t>Статья 1</w:t>
      </w:r>
    </w:p>
    <w:p>
      <w:r>
        <w:t>Внести в Федеральный закон от 26 марта 1998 года № 41-ФЗ "О драгоценных металлах и драгоценных камнях" (Собрание законодательства Российской Федерации, 1998, № 13, ст. 1463; 2002, № 2, ст. 131; 2003, № 2, ст. 167) следующие изменения</w:t>
      </w:r>
    </w:p>
    <w:p>
      <w:r>
        <w:t>абзац восьмой пункта 2 статьи 10 изложить в следующей редакции: "определения Президентом Российской Федерации особенностей порядка ввоза в Российскую Федерацию из стран, не входящих в Таможенный союз в рамках ЕврАзЭС, и вывоза из Российской Федерации в страны, не входящие в Таможенный союз в рамках ЕврАзЭС, драгоценных металлов и драгоценных камней;"</w:t>
      </w:r>
    </w:p>
    <w:p>
      <w:r>
        <w:t>в статье 20: а) абзац третий пункта 1 признать утратившим силу; б) в абзаце первом пункта 5 слова "в порядке, установленном Президентом Российской Федерации" заменить словами "в соответствии с положением о порядке ввоза на таможенную территорию Таможенного союза в рамках ЕврАзЭС и вывоза с таможенной территории Таможенного союза в рамках ЕврАзЭС драгоценных металлов, драгоценных камней и сырьевых товаров, содержащих драгоценные металлы, с учетом особенностей, определяемых Президентом Российской Федерации в соответствии со статьей 10 настоящего Федерального закона"</w:t>
      </w:r>
    </w:p>
    <w:p>
      <w:r>
        <w:rPr>
          <w:b/>
        </w:rPr>
        <w:t>Статья 2</w:t>
      </w:r>
    </w:p>
    <w:p>
      <w:r>
        <w:t>Внести в Федеральный закон от 8 декабря 2003 года № 164-ФЗ "Об основах государственного регулирования внешнеторговой деятельности" (Собрание законодательства Российской Федерации, 2003, № 50, ст. 4850; 2004, № 35, ст. 3607) следующие изменения</w:t>
      </w:r>
    </w:p>
    <w:p>
      <w:r>
        <w:t>пункт 6 статьи 6 изложить в следующей редакции: "6) определение особенностей порядка ввоза в Российскую Федерацию из стран, не входящих в Таможенный союз в рамках ЕврАзЭС, и вывоза из Российской Федерации в страны, не входящие в Таможенный союз в рамках ЕврАзЭС, драгоценных металлов и драгоценных камней;"</w:t>
      </w:r>
    </w:p>
    <w:p>
      <w:r>
        <w:t>пункт 2 части 1 статьи 13 изложить в следующей редакции: "2) определяет особенности порядка ввоза в Российскую Федерацию из стран, не входящих в Таможенный союз в рамках ЕврАзЭС, и вывоза из Российской Федерации в страны, не входящие в Таможенный союз в рамках ЕврАзЭС, драгоценных металлов и драгоценных камней;"</w:t>
      </w:r>
    </w:p>
    <w:p>
      <w:r>
        <w:rPr>
          <w:b/>
        </w:rPr>
        <w:t>Статья 3</w:t>
      </w:r>
    </w:p>
    <w:p>
      <w:r>
        <w:t>Абзацы третий и четвертый статьи 1 Федерального закона от 10 января 2002 года № 5-ФЗ "О внесении дополнений в статью 20 Федерального закона "О драгоценных металлах и драгоценных камнях" (Собрание законодательства Российской Федерации, 2002, № 2, ст. 131) признать утратившими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