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11 Федерального закона "Об органах судейского сообщества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2003, № 27, ст. 2710; 2004, № 33, ст. 3369) следующие изменения</w:t>
      </w:r>
    </w:p>
    <w:p>
      <w:r>
        <w:t>статью 3 дополнить пунктом 4 следующего содержания: "4. В Верховном Суде Российской Федерации формируются общее собрание судей Верховного Суда Российской Федерации и Совет судей Верховного Суда Российской Федерации, полномочия, порядок формирования и деятельности которых регулируются положением, принимаемым общим собранием судей Верховного Суда Российской Федерации."</w:t>
      </w:r>
    </w:p>
    <w:p>
      <w:r>
        <w:t>абзац второй пункта 8 статьи 11 изложить в следующей редакции: "Представителями Президента Российской Федерации в квалификационных коллегиях судей могут быть граждане Российской Федерации, состоящие на государственной службе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