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"Об обязательном социальном страховании от несчастных случаев на производстве и профессиональных заболеваний"</w:t>
      </w:r>
    </w:p>
    <w:p>
      <w:r>
        <w:rPr>
          <w:b/>
        </w:rPr>
        <w:t>Статья 1</w:t>
      </w:r>
    </w:p>
    <w:p>
      <w:r>
        <w:t>Внести в пункт 10 статьи 12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2001, № 44, ст. 4152; 2002, № 48, ст. 4737; 2003, № 28, ст. 2887; 2010, № 21, ст. 2528) следующие изменения</w:t>
      </w:r>
    </w:p>
    <w:p>
      <w:r>
        <w:t>абзац первый изложить в следующей редакции: "10. При назначении ежемесячной страховой выплаты суммы заработка, из которого исчисляется размер ежемесячной страховой выплаты, полученные за период до дня проведения индексации размеров ежемесячных страховых выплат в соответствии с пунктом 11 настоящей статьи, увеличиваются с учетом соответствующих коэффициентов, установленных для индексации размера ежемесячной страховой выплаты. При этом коэффициенты, примененные к суммам заработка, к назначенному размеру ежемесячной страховой выплаты не применяются."</w:t>
      </w:r>
    </w:p>
    <w:p>
      <w:r>
        <w:t>дополнить абзацем следующего содержания: "Суммы заработка, из которого исчисляется размер ежемесячной страховой выплаты, полученные за период до 1 мая 2002 года, увеличиваются пропорционально повышению в централизованном порядке в период по 1 мая 2002 года включительно минимального размера оплаты труда."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2011 года</w:t>
      </w:r>
    </w:p>
    <w:p>
      <w:r>
        <w:rPr>
          <w:b/>
        </w:rPr>
        <w:t xml:space="preserve">2. </w:t>
      </w:r>
      <w:r>
        <w:t>Установить, что ежемесячные страховые выплаты, исчисленные и назначенные до дня вступления в силу настоящего Федерального закона без учета коэффициентов, установленных пунктом 10 статьи 12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(в редакции настоящего Федерального закона), подлежат перерасчету с 1 января 2011 года с учетом указанных коэффициентов. Не подлежат перерасчету назначенные до дня вступления в силу настоящего Федерального закона ежемесячные страховые выплаты, размер которых исчислен с учетом сумм заработка, проиндексированных до 6 января 2000 года в порядке, установленном законодательством Российской Федерации при исчислении заработка для назначения пенсии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