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</w:t>
      </w:r>
    </w:p>
    <w:p>
      <w:r>
        <w:t>Внести в пункт 2 статьи 4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2002, № 30, ст. 3024; 2003, № 27, ст. 2709; 2005, № 30, ст. 3104; 2006, № 29, ст. 3124; 2007, № 26, ст. 3074; 2008, № 49, ст. 5747; 2010, № 15, ст. 1738; № 23, ст. 2800) изменение, дополнив его предложением следующего содержания: "При этом наименование указанного органа не может содержать словосочетаний, составляющих основу наименований федеральных органов государственной власти.".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