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4-2 Федерального закона "О введении в действие Градостроительного кодекса Российской Федерации"</w:t>
      </w:r>
    </w:p>
    <w:p>
      <w:r>
        <w:rPr>
          <w:b/>
        </w:rPr>
        <w:t>Статья 1</w:t>
      </w:r>
    </w:p>
    <w:p>
      <w:r>
        <w:t>Внести в статью 42 Федерального закона от 29 декабря 2004 года № 191-ФЗ "О введении в действие Градостроительного кодекса Российской Федерации" (Собрание законодательства Российской Федерации, 2005, № 1, ст. 17; 2006, № 52, ст. 5498) следующие изменения</w:t>
      </w:r>
    </w:p>
    <w:p>
      <w:r>
        <w:t>в части 1 слова "до 1 января 2011 года" заменить словами "до 1 января 2013 года"</w:t>
      </w:r>
    </w:p>
    <w:p>
      <w:r>
        <w:t>в части 2 слова "до 1 января 2011 года" заменить словами "до 1 января 2013 года"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