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Французской Республики о временной трудовой деятельности граждан одного государства на территории другого государства</w:t>
      </w:r>
    </w:p>
    <w:p>
      <w:r>
        <w:rPr>
          <w:b/>
        </w:rPr>
        <w:t>Статья None. Федеральный закон   от 28.12.2010 № 393-ФЗ</w:t>
      </w:r>
    </w:p>
    <w:p>
      <w:r>
        <w:t>О ратификации Соглашения между Правительством Российской Федерации и Правительством Французской Республики о временной трудовой деятельности граждан одного государства на территории другого государства РОССИЙСКАЯ ФЕДЕРАЦИЯ ФЕДЕРАЛЬНЫЙ ЗАКОН О ратификации Соглашения между Правительством Российской Федерации и Правительством Французской Республики о временной трудовой деятельности граждан одного государства на территории другого государства Принят Государственной Думой 22 декабря 2010 года Одобрен Советом Федерации 24 декабря 2010 года Ратифицировать Соглашение между Правительством Российской Федерации и Правительством Французской Республики о временной трудовой деятельности граждан одного государства на территории другого государства, подписанное в городе Рамбуйе 27 ноября 2009 года. Президент Российской Федерации Д.Медведев Москва, Кремль 28 декабря 2010 года № 393-ФЗ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